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6B00" w14:textId="4703DB16" w:rsidR="000346B5" w:rsidRDefault="008277A3">
      <w:hyperlink r:id="rId4" w:history="1">
        <w:r>
          <w:rPr>
            <w:rStyle w:val="Hipervnculo"/>
          </w:rPr>
          <w:t>Agencia Tributaria: Ayudas directas a los sectores del transporte y de la industria gas intensiva.</w:t>
        </w:r>
      </w:hyperlink>
    </w:p>
    <w:sectPr w:rsidR="00034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A3"/>
    <w:rsid w:val="000346B5"/>
    <w:rsid w:val="008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EB09"/>
  <w15:chartTrackingRefBased/>
  <w15:docId w15:val="{F0F8AB17-E532-40D6-AE0A-A57BBCBE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7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de.agenciatributaria.gob.es/Sede/procedimientoini/GC50.shtml?msclkid=07643bb8b1bf11ec8d3820fc1b03ea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2022-04-06T10:50:00Z</dcterms:created>
  <dcterms:modified xsi:type="dcterms:W3CDTF">2022-04-06T10:51:00Z</dcterms:modified>
</cp:coreProperties>
</file>